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38" w:type="dxa"/>
        <w:tblInd w:w="-601" w:type="dxa"/>
        <w:tblLayout w:type="fixed"/>
        <w:tblLook w:val="04A0"/>
      </w:tblPr>
      <w:tblGrid>
        <w:gridCol w:w="5387"/>
        <w:gridCol w:w="851"/>
        <w:gridCol w:w="2440"/>
        <w:gridCol w:w="1460"/>
      </w:tblGrid>
      <w:tr w:rsidR="006839B2" w:rsidRPr="00E43DC7" w:rsidTr="00095070">
        <w:trPr>
          <w:trHeight w:val="315"/>
        </w:trPr>
        <w:tc>
          <w:tcPr>
            <w:tcW w:w="5387" w:type="dxa"/>
            <w:tcBorders>
              <w:top w:val="nil"/>
              <w:left w:val="nil"/>
              <w:bottom w:val="nil"/>
              <w:right w:val="nil"/>
            </w:tcBorders>
            <w:shd w:val="clear" w:color="auto" w:fill="auto"/>
            <w:noWrap/>
            <w:vAlign w:val="bottom"/>
            <w:hideMark/>
          </w:tcPr>
          <w:p w:rsidR="006839B2" w:rsidRPr="00E43DC7" w:rsidRDefault="006839B2" w:rsidP="00E43DC7">
            <w:pPr>
              <w:spacing w:after="0" w:line="240" w:lineRule="auto"/>
              <w:rPr>
                <w:rFonts w:ascii="Calibri" w:eastAsia="Times New Roman" w:hAnsi="Calibri" w:cs="Times New Roman"/>
                <w:color w:val="000000"/>
                <w:lang w:eastAsia="ru-RU"/>
              </w:rPr>
            </w:pPr>
          </w:p>
        </w:tc>
        <w:tc>
          <w:tcPr>
            <w:tcW w:w="851" w:type="dxa"/>
            <w:tcBorders>
              <w:top w:val="nil"/>
              <w:left w:val="nil"/>
              <w:bottom w:val="nil"/>
              <w:right w:val="nil"/>
            </w:tcBorders>
            <w:shd w:val="clear" w:color="auto" w:fill="auto"/>
            <w:noWrap/>
            <w:vAlign w:val="bottom"/>
            <w:hideMark/>
          </w:tcPr>
          <w:p w:rsidR="006839B2" w:rsidRPr="00E43DC7" w:rsidRDefault="006839B2" w:rsidP="00E43DC7">
            <w:pPr>
              <w:spacing w:after="0" w:line="240" w:lineRule="auto"/>
              <w:rPr>
                <w:rFonts w:ascii="Calibri" w:eastAsia="Times New Roman" w:hAnsi="Calibri" w:cs="Times New Roman"/>
                <w:color w:val="000000"/>
                <w:lang w:eastAsia="ru-RU"/>
              </w:rPr>
            </w:pPr>
          </w:p>
        </w:tc>
        <w:tc>
          <w:tcPr>
            <w:tcW w:w="3900" w:type="dxa"/>
            <w:gridSpan w:val="2"/>
            <w:vMerge w:val="restart"/>
            <w:tcBorders>
              <w:top w:val="nil"/>
              <w:left w:val="nil"/>
              <w:right w:val="nil"/>
            </w:tcBorders>
            <w:shd w:val="clear" w:color="auto" w:fill="auto"/>
            <w:noWrap/>
            <w:hideMark/>
          </w:tcPr>
          <w:p w:rsidR="006839B2" w:rsidRPr="00E43DC7" w:rsidRDefault="006839B2" w:rsidP="006839B2">
            <w:pPr>
              <w:spacing w:after="0" w:line="240" w:lineRule="auto"/>
              <w:jc w:val="center"/>
              <w:rPr>
                <w:rFonts w:ascii="Times New Roman" w:eastAsia="Times New Roman" w:hAnsi="Times New Roman" w:cs="Times New Roman"/>
                <w:color w:val="000000"/>
                <w:sz w:val="20"/>
                <w:szCs w:val="20"/>
                <w:lang w:eastAsia="ru-RU"/>
              </w:rPr>
            </w:pPr>
            <w:r w:rsidRPr="00E43DC7">
              <w:rPr>
                <w:rFonts w:ascii="Times New Roman" w:eastAsia="Times New Roman" w:hAnsi="Times New Roman" w:cs="Times New Roman"/>
                <w:color w:val="000000"/>
                <w:sz w:val="24"/>
                <w:szCs w:val="24"/>
                <w:lang w:eastAsia="ru-RU"/>
              </w:rPr>
              <w:t>Приложение 1</w:t>
            </w:r>
          </w:p>
          <w:p w:rsidR="006839B2" w:rsidRPr="00E43DC7" w:rsidRDefault="006839B2" w:rsidP="006839B2">
            <w:pPr>
              <w:spacing w:after="0" w:line="240" w:lineRule="auto"/>
              <w:jc w:val="center"/>
              <w:rPr>
                <w:rFonts w:ascii="Times New Roman" w:eastAsia="Times New Roman" w:hAnsi="Times New Roman" w:cs="Times New Roman"/>
                <w:color w:val="000000"/>
                <w:sz w:val="24"/>
                <w:szCs w:val="24"/>
                <w:lang w:eastAsia="ru-RU"/>
              </w:rPr>
            </w:pPr>
            <w:r w:rsidRPr="00E43DC7">
              <w:rPr>
                <w:rFonts w:ascii="Times New Roman" w:eastAsia="Times New Roman" w:hAnsi="Times New Roman" w:cs="Times New Roman"/>
                <w:color w:val="000000"/>
                <w:sz w:val="24"/>
                <w:szCs w:val="24"/>
                <w:lang w:eastAsia="ru-RU"/>
              </w:rPr>
              <w:t>к постановлению администрации</w:t>
            </w:r>
          </w:p>
          <w:p w:rsidR="006839B2" w:rsidRPr="00E43DC7" w:rsidRDefault="006839B2" w:rsidP="006839B2">
            <w:pPr>
              <w:spacing w:after="0" w:line="240" w:lineRule="auto"/>
              <w:jc w:val="center"/>
              <w:rPr>
                <w:rFonts w:ascii="Times New Roman" w:eastAsia="Times New Roman" w:hAnsi="Times New Roman" w:cs="Times New Roman"/>
                <w:color w:val="000000"/>
                <w:sz w:val="24"/>
                <w:szCs w:val="24"/>
                <w:lang w:eastAsia="ru-RU"/>
              </w:rPr>
            </w:pPr>
            <w:r w:rsidRPr="00E43DC7">
              <w:rPr>
                <w:rFonts w:ascii="Times New Roman" w:eastAsia="Times New Roman" w:hAnsi="Times New Roman" w:cs="Times New Roman"/>
                <w:color w:val="000000"/>
                <w:sz w:val="24"/>
                <w:szCs w:val="24"/>
                <w:lang w:eastAsia="ru-RU"/>
              </w:rPr>
              <w:t>Княгининского района</w:t>
            </w:r>
          </w:p>
          <w:p w:rsidR="006839B2" w:rsidRPr="00E43DC7" w:rsidRDefault="006839B2" w:rsidP="006839B2">
            <w:pPr>
              <w:spacing w:after="0" w:line="240" w:lineRule="auto"/>
              <w:jc w:val="center"/>
              <w:rPr>
                <w:rFonts w:ascii="Times New Roman" w:eastAsia="Times New Roman" w:hAnsi="Times New Roman" w:cs="Times New Roman"/>
                <w:color w:val="000000"/>
                <w:sz w:val="24"/>
                <w:szCs w:val="24"/>
                <w:lang w:eastAsia="ru-RU"/>
              </w:rPr>
            </w:pPr>
            <w:r w:rsidRPr="00E43DC7">
              <w:rPr>
                <w:rFonts w:ascii="Times New Roman" w:eastAsia="Times New Roman" w:hAnsi="Times New Roman" w:cs="Times New Roman"/>
                <w:color w:val="000000"/>
                <w:sz w:val="24"/>
                <w:szCs w:val="24"/>
                <w:lang w:eastAsia="ru-RU"/>
              </w:rPr>
              <w:t>Нижегородской области</w:t>
            </w:r>
          </w:p>
          <w:p w:rsidR="006839B2" w:rsidRPr="00F22799" w:rsidRDefault="00F22799" w:rsidP="006839B2">
            <w:pPr>
              <w:spacing w:after="0" w:line="240" w:lineRule="auto"/>
              <w:jc w:val="center"/>
              <w:rPr>
                <w:rFonts w:ascii="Times New Roman" w:eastAsia="Times New Roman" w:hAnsi="Times New Roman" w:cs="Times New Roman"/>
                <w:color w:val="000000"/>
                <w:sz w:val="20"/>
                <w:szCs w:val="20"/>
                <w:u w:val="single"/>
                <w:lang w:eastAsia="ru-RU"/>
              </w:rPr>
            </w:pPr>
            <w:r>
              <w:rPr>
                <w:rFonts w:ascii="Times New Roman" w:eastAsia="Times New Roman" w:hAnsi="Times New Roman" w:cs="Times New Roman"/>
                <w:color w:val="000000"/>
                <w:sz w:val="24"/>
                <w:szCs w:val="24"/>
                <w:lang w:eastAsia="ru-RU"/>
              </w:rPr>
              <w:t xml:space="preserve">от </w:t>
            </w:r>
            <w:r>
              <w:rPr>
                <w:rFonts w:ascii="Times New Roman" w:eastAsia="Times New Roman" w:hAnsi="Times New Roman" w:cs="Times New Roman"/>
                <w:color w:val="000000"/>
                <w:sz w:val="24"/>
                <w:szCs w:val="24"/>
                <w:u w:val="single"/>
                <w:lang w:eastAsia="ru-RU"/>
              </w:rPr>
              <w:t xml:space="preserve">11.04.2017 </w:t>
            </w:r>
            <w:r w:rsidR="006839B2" w:rsidRPr="00E43DC7">
              <w:rPr>
                <w:rFonts w:ascii="Times New Roman" w:eastAsia="Times New Roman" w:hAnsi="Times New Roman" w:cs="Times New Roman"/>
                <w:color w:val="000000"/>
                <w:sz w:val="24"/>
                <w:szCs w:val="24"/>
                <w:lang w:eastAsia="ru-RU"/>
              </w:rPr>
              <w:t>№_</w:t>
            </w:r>
            <w:r>
              <w:rPr>
                <w:rFonts w:ascii="Times New Roman" w:eastAsia="Times New Roman" w:hAnsi="Times New Roman" w:cs="Times New Roman"/>
                <w:color w:val="000000"/>
                <w:sz w:val="24"/>
                <w:szCs w:val="24"/>
                <w:u w:val="single"/>
                <w:lang w:eastAsia="ru-RU"/>
              </w:rPr>
              <w:t>439</w:t>
            </w:r>
          </w:p>
        </w:tc>
      </w:tr>
      <w:tr w:rsidR="006839B2" w:rsidRPr="00E43DC7" w:rsidTr="00095070">
        <w:trPr>
          <w:trHeight w:val="1260"/>
        </w:trPr>
        <w:tc>
          <w:tcPr>
            <w:tcW w:w="5387" w:type="dxa"/>
            <w:tcBorders>
              <w:top w:val="nil"/>
              <w:left w:val="nil"/>
              <w:bottom w:val="nil"/>
              <w:right w:val="nil"/>
            </w:tcBorders>
            <w:shd w:val="clear" w:color="auto" w:fill="auto"/>
            <w:noWrap/>
            <w:vAlign w:val="bottom"/>
            <w:hideMark/>
          </w:tcPr>
          <w:p w:rsidR="006839B2" w:rsidRPr="00E43DC7" w:rsidRDefault="006839B2" w:rsidP="00E43DC7">
            <w:pPr>
              <w:spacing w:after="0" w:line="240" w:lineRule="auto"/>
              <w:rPr>
                <w:rFonts w:ascii="Calibri" w:eastAsia="Times New Roman" w:hAnsi="Calibri" w:cs="Times New Roman"/>
                <w:color w:val="000000"/>
                <w:lang w:eastAsia="ru-RU"/>
              </w:rPr>
            </w:pPr>
          </w:p>
        </w:tc>
        <w:tc>
          <w:tcPr>
            <w:tcW w:w="851" w:type="dxa"/>
            <w:tcBorders>
              <w:top w:val="nil"/>
              <w:left w:val="nil"/>
              <w:bottom w:val="nil"/>
              <w:right w:val="nil"/>
            </w:tcBorders>
            <w:shd w:val="clear" w:color="auto" w:fill="auto"/>
            <w:noWrap/>
            <w:vAlign w:val="bottom"/>
            <w:hideMark/>
          </w:tcPr>
          <w:p w:rsidR="006839B2" w:rsidRPr="00E43DC7" w:rsidRDefault="006839B2" w:rsidP="00E43DC7">
            <w:pPr>
              <w:spacing w:after="0" w:line="240" w:lineRule="auto"/>
              <w:rPr>
                <w:rFonts w:ascii="Calibri" w:eastAsia="Times New Roman" w:hAnsi="Calibri" w:cs="Times New Roman"/>
                <w:color w:val="000000"/>
                <w:lang w:eastAsia="ru-RU"/>
              </w:rPr>
            </w:pPr>
          </w:p>
        </w:tc>
        <w:tc>
          <w:tcPr>
            <w:tcW w:w="3900" w:type="dxa"/>
            <w:gridSpan w:val="2"/>
            <w:vMerge/>
            <w:tcBorders>
              <w:left w:val="nil"/>
              <w:bottom w:val="nil"/>
              <w:right w:val="nil"/>
            </w:tcBorders>
            <w:shd w:val="clear" w:color="auto" w:fill="auto"/>
            <w:noWrap/>
            <w:vAlign w:val="bottom"/>
            <w:hideMark/>
          </w:tcPr>
          <w:p w:rsidR="006839B2" w:rsidRPr="00E43DC7" w:rsidRDefault="006839B2" w:rsidP="00E43DC7">
            <w:pPr>
              <w:spacing w:after="0" w:line="240" w:lineRule="auto"/>
              <w:rPr>
                <w:rFonts w:ascii="Times New Roman" w:eastAsia="Times New Roman" w:hAnsi="Times New Roman" w:cs="Times New Roman"/>
                <w:color w:val="000000"/>
                <w:sz w:val="24"/>
                <w:szCs w:val="24"/>
                <w:lang w:eastAsia="ru-RU"/>
              </w:rPr>
            </w:pPr>
          </w:p>
        </w:tc>
      </w:tr>
      <w:tr w:rsidR="00E43DC7" w:rsidRPr="00E43DC7" w:rsidTr="00E43DC7">
        <w:trPr>
          <w:trHeight w:val="322"/>
        </w:trPr>
        <w:tc>
          <w:tcPr>
            <w:tcW w:w="10138" w:type="dxa"/>
            <w:gridSpan w:val="4"/>
            <w:vMerge w:val="restart"/>
            <w:tcBorders>
              <w:top w:val="nil"/>
              <w:left w:val="nil"/>
              <w:bottom w:val="nil"/>
              <w:right w:val="nil"/>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b/>
                <w:bCs/>
                <w:color w:val="000000"/>
                <w:sz w:val="28"/>
                <w:szCs w:val="28"/>
                <w:lang w:eastAsia="ru-RU"/>
              </w:rPr>
            </w:pPr>
            <w:r w:rsidRPr="00E43DC7">
              <w:rPr>
                <w:rFonts w:ascii="Times New Roman" w:eastAsia="Times New Roman" w:hAnsi="Times New Roman" w:cs="Times New Roman"/>
                <w:b/>
                <w:bCs/>
                <w:color w:val="000000"/>
                <w:sz w:val="28"/>
                <w:szCs w:val="28"/>
                <w:lang w:eastAsia="ru-RU"/>
              </w:rPr>
              <w:t xml:space="preserve"> Исполнение по доходам районного бюджета  по кодам  классификации доходов бюджетов за  1 квартал 2017 года</w:t>
            </w:r>
          </w:p>
        </w:tc>
      </w:tr>
      <w:tr w:rsidR="00E43DC7" w:rsidRPr="00E43DC7" w:rsidTr="00E43DC7">
        <w:trPr>
          <w:trHeight w:val="600"/>
        </w:trPr>
        <w:tc>
          <w:tcPr>
            <w:tcW w:w="10138" w:type="dxa"/>
            <w:gridSpan w:val="4"/>
            <w:vMerge/>
            <w:tcBorders>
              <w:top w:val="nil"/>
              <w:left w:val="nil"/>
              <w:bottom w:val="nil"/>
              <w:right w:val="nil"/>
            </w:tcBorders>
            <w:vAlign w:val="center"/>
            <w:hideMark/>
          </w:tcPr>
          <w:p w:rsidR="00E43DC7" w:rsidRPr="00E43DC7" w:rsidRDefault="00E43DC7" w:rsidP="00E43DC7">
            <w:pPr>
              <w:spacing w:after="0" w:line="240" w:lineRule="auto"/>
              <w:rPr>
                <w:rFonts w:ascii="Times New Roman" w:eastAsia="Times New Roman" w:hAnsi="Times New Roman" w:cs="Times New Roman"/>
                <w:b/>
                <w:bCs/>
                <w:color w:val="000000"/>
                <w:sz w:val="28"/>
                <w:szCs w:val="28"/>
                <w:lang w:eastAsia="ru-RU"/>
              </w:rPr>
            </w:pPr>
          </w:p>
        </w:tc>
      </w:tr>
      <w:tr w:rsidR="00E43DC7" w:rsidRPr="00E43DC7" w:rsidTr="00E43DC7">
        <w:trPr>
          <w:trHeight w:val="300"/>
        </w:trPr>
        <w:tc>
          <w:tcPr>
            <w:tcW w:w="5387" w:type="dxa"/>
            <w:tcBorders>
              <w:top w:val="nil"/>
              <w:left w:val="nil"/>
              <w:bottom w:val="nil"/>
              <w:right w:val="nil"/>
            </w:tcBorders>
            <w:shd w:val="clear" w:color="auto" w:fill="auto"/>
            <w:vAlign w:val="bottom"/>
            <w:hideMark/>
          </w:tcPr>
          <w:p w:rsidR="00E43DC7" w:rsidRPr="00E43DC7" w:rsidRDefault="00E43DC7" w:rsidP="00E43DC7">
            <w:pPr>
              <w:spacing w:after="0" w:line="240" w:lineRule="auto"/>
              <w:rPr>
                <w:rFonts w:ascii="Times New Roman" w:eastAsia="Times New Roman" w:hAnsi="Times New Roman" w:cs="Times New Roman"/>
                <w:b/>
                <w:bCs/>
                <w:color w:val="000000"/>
                <w:sz w:val="28"/>
                <w:szCs w:val="28"/>
                <w:lang w:eastAsia="ru-RU"/>
              </w:rPr>
            </w:pPr>
          </w:p>
        </w:tc>
        <w:tc>
          <w:tcPr>
            <w:tcW w:w="851" w:type="dxa"/>
            <w:tcBorders>
              <w:top w:val="nil"/>
              <w:left w:val="nil"/>
              <w:bottom w:val="nil"/>
              <w:right w:val="nil"/>
            </w:tcBorders>
            <w:shd w:val="clear" w:color="auto" w:fill="auto"/>
            <w:vAlign w:val="bottom"/>
            <w:hideMark/>
          </w:tcPr>
          <w:p w:rsidR="00E43DC7" w:rsidRPr="00E43DC7" w:rsidRDefault="00E43DC7" w:rsidP="00E43DC7">
            <w:pPr>
              <w:spacing w:after="0" w:line="240" w:lineRule="auto"/>
              <w:rPr>
                <w:rFonts w:ascii="Times New Roman" w:eastAsia="Times New Roman" w:hAnsi="Times New Roman" w:cs="Times New Roman"/>
                <w:b/>
                <w:bCs/>
                <w:color w:val="000000"/>
                <w:sz w:val="28"/>
                <w:szCs w:val="28"/>
                <w:lang w:eastAsia="ru-RU"/>
              </w:rPr>
            </w:pPr>
          </w:p>
        </w:tc>
        <w:tc>
          <w:tcPr>
            <w:tcW w:w="2440" w:type="dxa"/>
            <w:tcBorders>
              <w:top w:val="nil"/>
              <w:left w:val="nil"/>
              <w:bottom w:val="nil"/>
              <w:right w:val="nil"/>
            </w:tcBorders>
            <w:shd w:val="clear" w:color="auto" w:fill="auto"/>
            <w:vAlign w:val="bottom"/>
            <w:hideMark/>
          </w:tcPr>
          <w:p w:rsidR="00E43DC7" w:rsidRPr="00E43DC7" w:rsidRDefault="00E43DC7" w:rsidP="00E43DC7">
            <w:pPr>
              <w:spacing w:after="0" w:line="240" w:lineRule="auto"/>
              <w:rPr>
                <w:rFonts w:ascii="Times New Roman" w:eastAsia="Times New Roman" w:hAnsi="Times New Roman" w:cs="Times New Roman"/>
                <w:b/>
                <w:bCs/>
                <w:color w:val="000000"/>
                <w:sz w:val="28"/>
                <w:szCs w:val="28"/>
                <w:lang w:eastAsia="ru-RU"/>
              </w:rPr>
            </w:pPr>
          </w:p>
        </w:tc>
        <w:tc>
          <w:tcPr>
            <w:tcW w:w="1460" w:type="dxa"/>
            <w:tcBorders>
              <w:top w:val="nil"/>
              <w:left w:val="nil"/>
              <w:bottom w:val="nil"/>
              <w:right w:val="nil"/>
            </w:tcBorders>
            <w:shd w:val="clear" w:color="auto" w:fill="auto"/>
            <w:vAlign w:val="bottom"/>
            <w:hideMark/>
          </w:tcPr>
          <w:p w:rsidR="00E43DC7" w:rsidRPr="00E43DC7" w:rsidRDefault="00E43DC7" w:rsidP="00E43DC7">
            <w:pPr>
              <w:spacing w:after="0" w:line="240" w:lineRule="auto"/>
              <w:rPr>
                <w:rFonts w:ascii="Times New Roman" w:eastAsia="Times New Roman" w:hAnsi="Times New Roman" w:cs="Times New Roman"/>
                <w:b/>
                <w:bCs/>
                <w:color w:val="000000"/>
                <w:sz w:val="28"/>
                <w:szCs w:val="28"/>
                <w:lang w:eastAsia="ru-RU"/>
              </w:rPr>
            </w:pPr>
          </w:p>
        </w:tc>
      </w:tr>
      <w:tr w:rsidR="00E43DC7" w:rsidRPr="00E43DC7" w:rsidTr="00E43DC7">
        <w:trPr>
          <w:trHeight w:val="300"/>
        </w:trPr>
        <w:tc>
          <w:tcPr>
            <w:tcW w:w="5387" w:type="dxa"/>
            <w:tcBorders>
              <w:top w:val="nil"/>
              <w:left w:val="nil"/>
              <w:bottom w:val="nil"/>
              <w:right w:val="nil"/>
            </w:tcBorders>
            <w:shd w:val="clear" w:color="auto" w:fill="auto"/>
            <w:vAlign w:val="bottom"/>
            <w:hideMark/>
          </w:tcPr>
          <w:p w:rsidR="00E43DC7" w:rsidRPr="00E43DC7" w:rsidRDefault="00E43DC7" w:rsidP="00E43DC7">
            <w:pPr>
              <w:spacing w:after="0" w:line="240" w:lineRule="auto"/>
              <w:rPr>
                <w:rFonts w:ascii="Calibri" w:eastAsia="Times New Roman" w:hAnsi="Calibri" w:cs="Times New Roman"/>
                <w:color w:val="000000"/>
                <w:lang w:eastAsia="ru-RU"/>
              </w:rPr>
            </w:pPr>
          </w:p>
        </w:tc>
        <w:tc>
          <w:tcPr>
            <w:tcW w:w="851" w:type="dxa"/>
            <w:tcBorders>
              <w:top w:val="nil"/>
              <w:left w:val="nil"/>
              <w:bottom w:val="nil"/>
              <w:right w:val="nil"/>
            </w:tcBorders>
            <w:shd w:val="clear" w:color="auto" w:fill="auto"/>
            <w:vAlign w:val="bottom"/>
            <w:hideMark/>
          </w:tcPr>
          <w:p w:rsidR="00E43DC7" w:rsidRPr="00E43DC7" w:rsidRDefault="00E43DC7" w:rsidP="00E43DC7">
            <w:pPr>
              <w:spacing w:after="0" w:line="240" w:lineRule="auto"/>
              <w:rPr>
                <w:rFonts w:ascii="Calibri" w:eastAsia="Times New Roman" w:hAnsi="Calibri" w:cs="Times New Roman"/>
                <w:color w:val="000000"/>
                <w:lang w:eastAsia="ru-RU"/>
              </w:rPr>
            </w:pPr>
          </w:p>
        </w:tc>
        <w:tc>
          <w:tcPr>
            <w:tcW w:w="2440" w:type="dxa"/>
            <w:tcBorders>
              <w:top w:val="nil"/>
              <w:left w:val="nil"/>
              <w:bottom w:val="nil"/>
              <w:right w:val="nil"/>
            </w:tcBorders>
            <w:shd w:val="clear" w:color="auto" w:fill="auto"/>
            <w:vAlign w:val="bottom"/>
            <w:hideMark/>
          </w:tcPr>
          <w:p w:rsidR="00E43DC7" w:rsidRPr="00E43DC7" w:rsidRDefault="00E43DC7" w:rsidP="00E43DC7">
            <w:pPr>
              <w:spacing w:after="0" w:line="240" w:lineRule="auto"/>
              <w:rPr>
                <w:rFonts w:ascii="Calibri" w:eastAsia="Times New Roman" w:hAnsi="Calibri" w:cs="Times New Roman"/>
                <w:color w:val="000000"/>
                <w:lang w:eastAsia="ru-RU"/>
              </w:rPr>
            </w:pPr>
          </w:p>
        </w:tc>
        <w:tc>
          <w:tcPr>
            <w:tcW w:w="1460" w:type="dxa"/>
            <w:tcBorders>
              <w:top w:val="nil"/>
              <w:left w:val="nil"/>
              <w:bottom w:val="nil"/>
              <w:right w:val="nil"/>
            </w:tcBorders>
            <w:shd w:val="clear" w:color="auto" w:fill="auto"/>
            <w:vAlign w:val="bottom"/>
            <w:hideMark/>
          </w:tcPr>
          <w:p w:rsidR="00E43DC7" w:rsidRPr="00E43DC7" w:rsidRDefault="00E43DC7" w:rsidP="00E43DC7">
            <w:pPr>
              <w:spacing w:after="0" w:line="240" w:lineRule="auto"/>
              <w:rPr>
                <w:rFonts w:ascii="Calibri" w:eastAsia="Times New Roman" w:hAnsi="Calibri" w:cs="Times New Roman"/>
                <w:color w:val="000000"/>
                <w:lang w:eastAsia="ru-RU"/>
              </w:rPr>
            </w:pPr>
          </w:p>
        </w:tc>
      </w:tr>
      <w:tr w:rsidR="00E43DC7" w:rsidRPr="00E43DC7" w:rsidTr="00E43DC7">
        <w:trPr>
          <w:trHeight w:val="315"/>
        </w:trPr>
        <w:tc>
          <w:tcPr>
            <w:tcW w:w="10138" w:type="dxa"/>
            <w:gridSpan w:val="4"/>
            <w:tcBorders>
              <w:top w:val="nil"/>
              <w:left w:val="nil"/>
              <w:bottom w:val="single" w:sz="4" w:space="0" w:color="auto"/>
              <w:right w:val="nil"/>
            </w:tcBorders>
            <w:shd w:val="clear" w:color="auto" w:fill="auto"/>
            <w:noWrap/>
            <w:vAlign w:val="bottom"/>
            <w:hideMark/>
          </w:tcPr>
          <w:p w:rsidR="00E43DC7" w:rsidRPr="00E43DC7" w:rsidRDefault="00E43DC7" w:rsidP="00E43DC7">
            <w:pPr>
              <w:spacing w:after="0" w:line="240" w:lineRule="auto"/>
              <w:jc w:val="right"/>
              <w:rPr>
                <w:rFonts w:ascii="Times New Roman" w:eastAsia="Times New Roman" w:hAnsi="Times New Roman" w:cs="Times New Roman"/>
                <w:color w:val="000000"/>
                <w:sz w:val="24"/>
                <w:szCs w:val="24"/>
                <w:lang w:eastAsia="ru-RU"/>
              </w:rPr>
            </w:pPr>
            <w:r w:rsidRPr="00E43DC7">
              <w:rPr>
                <w:rFonts w:ascii="Times New Roman" w:eastAsia="Times New Roman" w:hAnsi="Times New Roman" w:cs="Times New Roman"/>
                <w:color w:val="000000"/>
                <w:sz w:val="24"/>
                <w:szCs w:val="24"/>
                <w:lang w:eastAsia="ru-RU"/>
              </w:rPr>
              <w:t>тыс.рублей</w:t>
            </w:r>
          </w:p>
        </w:tc>
      </w:tr>
      <w:tr w:rsidR="00E43DC7" w:rsidRPr="00E43DC7" w:rsidTr="00E43DC7">
        <w:trPr>
          <w:trHeight w:val="300"/>
        </w:trPr>
        <w:tc>
          <w:tcPr>
            <w:tcW w:w="5387" w:type="dxa"/>
            <w:vMerge w:val="restart"/>
            <w:tcBorders>
              <w:top w:val="nil"/>
              <w:left w:val="single" w:sz="4" w:space="0" w:color="auto"/>
              <w:bottom w:val="single" w:sz="4" w:space="0" w:color="000000"/>
              <w:right w:val="single" w:sz="4" w:space="0" w:color="auto"/>
            </w:tcBorders>
            <w:shd w:val="clear" w:color="auto" w:fill="auto"/>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Наименование показателя</w:t>
            </w:r>
          </w:p>
        </w:tc>
        <w:tc>
          <w:tcPr>
            <w:tcW w:w="3291" w:type="dxa"/>
            <w:gridSpan w:val="2"/>
            <w:tcBorders>
              <w:top w:val="single" w:sz="4" w:space="0" w:color="auto"/>
              <w:left w:val="nil"/>
              <w:bottom w:val="single" w:sz="4" w:space="0" w:color="auto"/>
              <w:right w:val="single" w:sz="4" w:space="0" w:color="auto"/>
            </w:tcBorders>
            <w:shd w:val="clear" w:color="auto" w:fill="auto"/>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Код бюджетной  классификации</w:t>
            </w:r>
          </w:p>
        </w:tc>
        <w:tc>
          <w:tcPr>
            <w:tcW w:w="1460" w:type="dxa"/>
            <w:vMerge w:val="restart"/>
            <w:tcBorders>
              <w:top w:val="nil"/>
              <w:left w:val="single" w:sz="4" w:space="0" w:color="auto"/>
              <w:bottom w:val="single" w:sz="4" w:space="0" w:color="auto"/>
              <w:right w:val="single" w:sz="4" w:space="0" w:color="auto"/>
            </w:tcBorders>
            <w:shd w:val="clear" w:color="auto" w:fill="auto"/>
            <w:hideMark/>
          </w:tcPr>
          <w:p w:rsidR="00E43DC7" w:rsidRPr="00E43DC7" w:rsidRDefault="00E43DC7" w:rsidP="00E43DC7">
            <w:pPr>
              <w:spacing w:after="0" w:line="240" w:lineRule="auto"/>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Кассовое исполнение</w:t>
            </w:r>
          </w:p>
        </w:tc>
      </w:tr>
      <w:tr w:rsidR="00E43DC7" w:rsidRPr="00E43DC7" w:rsidTr="00E43DC7">
        <w:trPr>
          <w:trHeight w:val="1320"/>
        </w:trPr>
        <w:tc>
          <w:tcPr>
            <w:tcW w:w="5387" w:type="dxa"/>
            <w:vMerge/>
            <w:tcBorders>
              <w:top w:val="nil"/>
              <w:left w:val="single" w:sz="4" w:space="0" w:color="auto"/>
              <w:bottom w:val="single" w:sz="4" w:space="0" w:color="000000"/>
              <w:right w:val="single" w:sz="4" w:space="0" w:color="auto"/>
            </w:tcBorders>
            <w:vAlign w:val="center"/>
            <w:hideMark/>
          </w:tcPr>
          <w:p w:rsidR="00E43DC7" w:rsidRPr="00E43DC7" w:rsidRDefault="00E43DC7" w:rsidP="00E43DC7">
            <w:pPr>
              <w:spacing w:after="0" w:line="240" w:lineRule="auto"/>
              <w:rPr>
                <w:rFonts w:ascii="Times New Roman" w:eastAsia="Times New Roman" w:hAnsi="Times New Roman" w:cs="Times New Roman"/>
                <w:color w:val="000000"/>
                <w:lang w:eastAsia="ru-RU"/>
              </w:rPr>
            </w:pPr>
          </w:p>
        </w:tc>
        <w:tc>
          <w:tcPr>
            <w:tcW w:w="851" w:type="dxa"/>
            <w:tcBorders>
              <w:top w:val="nil"/>
              <w:left w:val="nil"/>
              <w:bottom w:val="single" w:sz="4" w:space="0" w:color="auto"/>
              <w:right w:val="single" w:sz="4" w:space="0" w:color="auto"/>
            </w:tcBorders>
            <w:shd w:val="clear" w:color="auto" w:fill="auto"/>
            <w:hideMark/>
          </w:tcPr>
          <w:p w:rsidR="00E43DC7" w:rsidRPr="00E43DC7" w:rsidRDefault="00E43DC7" w:rsidP="00E43DC7">
            <w:pPr>
              <w:spacing w:after="0" w:line="240" w:lineRule="auto"/>
              <w:rPr>
                <w:rFonts w:ascii="Times New Roman" w:eastAsia="Times New Roman" w:hAnsi="Times New Roman" w:cs="Times New Roman"/>
                <w:color w:val="000000"/>
                <w:sz w:val="20"/>
                <w:szCs w:val="20"/>
                <w:lang w:eastAsia="ru-RU"/>
              </w:rPr>
            </w:pPr>
            <w:r w:rsidRPr="00E43DC7">
              <w:rPr>
                <w:rFonts w:ascii="Times New Roman" w:eastAsia="Times New Roman" w:hAnsi="Times New Roman" w:cs="Times New Roman"/>
                <w:color w:val="000000"/>
                <w:sz w:val="20"/>
                <w:szCs w:val="20"/>
                <w:lang w:eastAsia="ru-RU"/>
              </w:rPr>
              <w:t>администратора поступлений</w:t>
            </w:r>
          </w:p>
        </w:tc>
        <w:tc>
          <w:tcPr>
            <w:tcW w:w="2440" w:type="dxa"/>
            <w:tcBorders>
              <w:top w:val="nil"/>
              <w:left w:val="nil"/>
              <w:bottom w:val="single" w:sz="4" w:space="0" w:color="auto"/>
              <w:right w:val="single" w:sz="4" w:space="0" w:color="auto"/>
            </w:tcBorders>
            <w:shd w:val="clear" w:color="auto" w:fill="auto"/>
            <w:hideMark/>
          </w:tcPr>
          <w:p w:rsidR="00E43DC7" w:rsidRPr="00E43DC7" w:rsidRDefault="00E43DC7" w:rsidP="00E43DC7">
            <w:pPr>
              <w:spacing w:after="0" w:line="240" w:lineRule="auto"/>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доходов районного бюджета</w:t>
            </w:r>
          </w:p>
        </w:tc>
        <w:tc>
          <w:tcPr>
            <w:tcW w:w="1460" w:type="dxa"/>
            <w:vMerge/>
            <w:tcBorders>
              <w:top w:val="nil"/>
              <w:left w:val="single" w:sz="4" w:space="0" w:color="auto"/>
              <w:bottom w:val="single" w:sz="4" w:space="0" w:color="auto"/>
              <w:right w:val="single" w:sz="4" w:space="0" w:color="auto"/>
            </w:tcBorders>
            <w:vAlign w:val="center"/>
            <w:hideMark/>
          </w:tcPr>
          <w:p w:rsidR="00E43DC7" w:rsidRPr="00E43DC7" w:rsidRDefault="00E43DC7" w:rsidP="00E43DC7">
            <w:pPr>
              <w:spacing w:after="0" w:line="240" w:lineRule="auto"/>
              <w:rPr>
                <w:rFonts w:ascii="Times New Roman" w:eastAsia="Times New Roman" w:hAnsi="Times New Roman" w:cs="Times New Roman"/>
                <w:color w:val="000000"/>
                <w:lang w:eastAsia="ru-RU"/>
              </w:rPr>
            </w:pPr>
          </w:p>
        </w:tc>
      </w:tr>
      <w:tr w:rsidR="00E43DC7" w:rsidRPr="00E43DC7" w:rsidTr="00E43DC7">
        <w:trPr>
          <w:trHeight w:val="345"/>
        </w:trPr>
        <w:tc>
          <w:tcPr>
            <w:tcW w:w="5387" w:type="dxa"/>
            <w:tcBorders>
              <w:top w:val="nil"/>
              <w:left w:val="single" w:sz="4" w:space="0" w:color="auto"/>
              <w:bottom w:val="single" w:sz="4" w:space="0" w:color="auto"/>
              <w:right w:val="single" w:sz="4" w:space="0" w:color="auto"/>
            </w:tcBorders>
            <w:shd w:val="clear" w:color="auto" w:fill="auto"/>
            <w:vAlign w:val="center"/>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w:t>
            </w:r>
          </w:p>
        </w:tc>
        <w:tc>
          <w:tcPr>
            <w:tcW w:w="851" w:type="dxa"/>
            <w:tcBorders>
              <w:top w:val="nil"/>
              <w:left w:val="nil"/>
              <w:bottom w:val="single" w:sz="4" w:space="0" w:color="auto"/>
              <w:right w:val="single" w:sz="4" w:space="0" w:color="auto"/>
            </w:tcBorders>
            <w:shd w:val="clear" w:color="auto" w:fill="auto"/>
            <w:vAlign w:val="center"/>
            <w:hideMark/>
          </w:tcPr>
          <w:p w:rsidR="00E43DC7" w:rsidRPr="00E43DC7" w:rsidRDefault="00E43DC7" w:rsidP="00E43DC7">
            <w:pPr>
              <w:spacing w:after="0" w:line="240" w:lineRule="auto"/>
              <w:jc w:val="center"/>
              <w:rPr>
                <w:rFonts w:ascii="Times New Roman" w:eastAsia="Times New Roman" w:hAnsi="Times New Roman" w:cs="Times New Roman"/>
                <w:color w:val="000000"/>
                <w:sz w:val="20"/>
                <w:szCs w:val="20"/>
                <w:lang w:eastAsia="ru-RU"/>
              </w:rPr>
            </w:pPr>
            <w:r w:rsidRPr="00E43DC7">
              <w:rPr>
                <w:rFonts w:ascii="Times New Roman" w:eastAsia="Times New Roman" w:hAnsi="Times New Roman" w:cs="Times New Roman"/>
                <w:color w:val="000000"/>
                <w:sz w:val="20"/>
                <w:szCs w:val="20"/>
                <w:lang w:eastAsia="ru-RU"/>
              </w:rPr>
              <w:t>2</w:t>
            </w:r>
          </w:p>
        </w:tc>
        <w:tc>
          <w:tcPr>
            <w:tcW w:w="2440" w:type="dxa"/>
            <w:tcBorders>
              <w:top w:val="nil"/>
              <w:left w:val="nil"/>
              <w:bottom w:val="single" w:sz="4" w:space="0" w:color="auto"/>
              <w:right w:val="single" w:sz="4" w:space="0" w:color="auto"/>
            </w:tcBorders>
            <w:shd w:val="clear" w:color="auto" w:fill="auto"/>
            <w:vAlign w:val="center"/>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3</w:t>
            </w:r>
          </w:p>
        </w:tc>
        <w:tc>
          <w:tcPr>
            <w:tcW w:w="1460" w:type="dxa"/>
            <w:tcBorders>
              <w:top w:val="nil"/>
              <w:left w:val="nil"/>
              <w:bottom w:val="single" w:sz="4" w:space="0" w:color="auto"/>
              <w:right w:val="single" w:sz="4" w:space="0" w:color="auto"/>
            </w:tcBorders>
            <w:shd w:val="clear" w:color="auto" w:fill="auto"/>
            <w:vAlign w:val="center"/>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4</w:t>
            </w:r>
          </w:p>
        </w:tc>
      </w:tr>
      <w:tr w:rsidR="00E43DC7" w:rsidRPr="00E43DC7" w:rsidTr="00E43DC7">
        <w:trPr>
          <w:trHeight w:val="570"/>
        </w:trPr>
        <w:tc>
          <w:tcPr>
            <w:tcW w:w="5387" w:type="dxa"/>
            <w:tcBorders>
              <w:top w:val="nil"/>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0" w:line="240" w:lineRule="auto"/>
              <w:jc w:val="both"/>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 xml:space="preserve">Управление Федеральной  налоговой службы по Нижегородской области </w:t>
            </w:r>
          </w:p>
        </w:tc>
        <w:tc>
          <w:tcPr>
            <w:tcW w:w="851" w:type="dxa"/>
            <w:tcBorders>
              <w:top w:val="nil"/>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182</w:t>
            </w:r>
          </w:p>
        </w:tc>
        <w:tc>
          <w:tcPr>
            <w:tcW w:w="2440" w:type="dxa"/>
            <w:tcBorders>
              <w:top w:val="nil"/>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 </w:t>
            </w:r>
          </w:p>
        </w:tc>
        <w:tc>
          <w:tcPr>
            <w:tcW w:w="1460" w:type="dxa"/>
            <w:tcBorders>
              <w:top w:val="nil"/>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23 551,6</w:t>
            </w:r>
          </w:p>
        </w:tc>
      </w:tr>
      <w:tr w:rsidR="00E43DC7" w:rsidRPr="00E43DC7" w:rsidTr="00E43DC7">
        <w:trPr>
          <w:trHeight w:val="1485"/>
        </w:trPr>
        <w:tc>
          <w:tcPr>
            <w:tcW w:w="5387" w:type="dxa"/>
            <w:tcBorders>
              <w:top w:val="nil"/>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851" w:type="dxa"/>
            <w:tcBorders>
              <w:top w:val="nil"/>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182</w:t>
            </w:r>
          </w:p>
        </w:tc>
        <w:tc>
          <w:tcPr>
            <w:tcW w:w="2440" w:type="dxa"/>
            <w:tcBorders>
              <w:top w:val="nil"/>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1 01 02010 01 0000 110</w:t>
            </w:r>
          </w:p>
        </w:tc>
        <w:tc>
          <w:tcPr>
            <w:tcW w:w="1460" w:type="dxa"/>
            <w:tcBorders>
              <w:top w:val="nil"/>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21 864,4</w:t>
            </w:r>
          </w:p>
        </w:tc>
      </w:tr>
      <w:tr w:rsidR="00E43DC7" w:rsidRPr="00E43DC7" w:rsidTr="00E43DC7">
        <w:trPr>
          <w:trHeight w:val="2230"/>
        </w:trPr>
        <w:tc>
          <w:tcPr>
            <w:tcW w:w="5387" w:type="dxa"/>
            <w:tcBorders>
              <w:top w:val="nil"/>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851" w:type="dxa"/>
            <w:tcBorders>
              <w:top w:val="nil"/>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182</w:t>
            </w:r>
          </w:p>
        </w:tc>
        <w:tc>
          <w:tcPr>
            <w:tcW w:w="2440" w:type="dxa"/>
            <w:tcBorders>
              <w:top w:val="nil"/>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1 01 02020 01 0000 110</w:t>
            </w:r>
          </w:p>
        </w:tc>
        <w:tc>
          <w:tcPr>
            <w:tcW w:w="1460" w:type="dxa"/>
            <w:tcBorders>
              <w:top w:val="nil"/>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33,7</w:t>
            </w:r>
          </w:p>
        </w:tc>
      </w:tr>
      <w:tr w:rsidR="00E43DC7" w:rsidRPr="00E43DC7" w:rsidTr="00E43DC7">
        <w:trPr>
          <w:trHeight w:val="931"/>
        </w:trPr>
        <w:tc>
          <w:tcPr>
            <w:tcW w:w="5387" w:type="dxa"/>
            <w:tcBorders>
              <w:top w:val="nil"/>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851" w:type="dxa"/>
            <w:tcBorders>
              <w:top w:val="nil"/>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182</w:t>
            </w:r>
          </w:p>
        </w:tc>
        <w:tc>
          <w:tcPr>
            <w:tcW w:w="2440" w:type="dxa"/>
            <w:tcBorders>
              <w:top w:val="nil"/>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1 01 02030 01 0000 110</w:t>
            </w:r>
          </w:p>
        </w:tc>
        <w:tc>
          <w:tcPr>
            <w:tcW w:w="1460" w:type="dxa"/>
            <w:tcBorders>
              <w:top w:val="nil"/>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2,2</w:t>
            </w:r>
          </w:p>
        </w:tc>
      </w:tr>
      <w:tr w:rsidR="00E43DC7" w:rsidRPr="00E43DC7" w:rsidTr="00E43DC7">
        <w:trPr>
          <w:trHeight w:val="478"/>
        </w:trPr>
        <w:tc>
          <w:tcPr>
            <w:tcW w:w="5387" w:type="dxa"/>
            <w:tcBorders>
              <w:top w:val="nil"/>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Единый налог на вмененный доход для отдельных видов деятельности</w:t>
            </w:r>
          </w:p>
        </w:tc>
        <w:tc>
          <w:tcPr>
            <w:tcW w:w="851" w:type="dxa"/>
            <w:tcBorders>
              <w:top w:val="nil"/>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182</w:t>
            </w:r>
          </w:p>
        </w:tc>
        <w:tc>
          <w:tcPr>
            <w:tcW w:w="2440" w:type="dxa"/>
            <w:tcBorders>
              <w:top w:val="nil"/>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1 05 02010 02 0000 110</w:t>
            </w:r>
          </w:p>
        </w:tc>
        <w:tc>
          <w:tcPr>
            <w:tcW w:w="1460" w:type="dxa"/>
            <w:tcBorders>
              <w:top w:val="nil"/>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672,4</w:t>
            </w:r>
          </w:p>
        </w:tc>
      </w:tr>
      <w:tr w:rsidR="00E43DC7" w:rsidRPr="00E43DC7" w:rsidTr="00E43DC7">
        <w:trPr>
          <w:trHeight w:val="885"/>
        </w:trPr>
        <w:tc>
          <w:tcPr>
            <w:tcW w:w="5387" w:type="dxa"/>
            <w:tcBorders>
              <w:top w:val="nil"/>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Единый налог на вмененный доход для отдельных видов деятельности (за налоговые периоды, истекшие до 1 января 2011 года)</w:t>
            </w:r>
          </w:p>
        </w:tc>
        <w:tc>
          <w:tcPr>
            <w:tcW w:w="851" w:type="dxa"/>
            <w:tcBorders>
              <w:top w:val="nil"/>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182</w:t>
            </w:r>
          </w:p>
        </w:tc>
        <w:tc>
          <w:tcPr>
            <w:tcW w:w="2440" w:type="dxa"/>
            <w:tcBorders>
              <w:top w:val="nil"/>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1 05 02020 02 0000 110</w:t>
            </w:r>
          </w:p>
        </w:tc>
        <w:tc>
          <w:tcPr>
            <w:tcW w:w="1460" w:type="dxa"/>
            <w:tcBorders>
              <w:top w:val="nil"/>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-1,3</w:t>
            </w:r>
          </w:p>
        </w:tc>
      </w:tr>
      <w:tr w:rsidR="00E43DC7" w:rsidRPr="00E43DC7" w:rsidTr="00E43DC7">
        <w:trPr>
          <w:trHeight w:val="341"/>
        </w:trPr>
        <w:tc>
          <w:tcPr>
            <w:tcW w:w="5387" w:type="dxa"/>
            <w:tcBorders>
              <w:top w:val="nil"/>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Единый сельскохозяйственный налог</w:t>
            </w:r>
          </w:p>
        </w:tc>
        <w:tc>
          <w:tcPr>
            <w:tcW w:w="851" w:type="dxa"/>
            <w:tcBorders>
              <w:top w:val="nil"/>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182</w:t>
            </w:r>
          </w:p>
        </w:tc>
        <w:tc>
          <w:tcPr>
            <w:tcW w:w="2440" w:type="dxa"/>
            <w:tcBorders>
              <w:top w:val="nil"/>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1 05 03010 01 0000 110</w:t>
            </w:r>
          </w:p>
        </w:tc>
        <w:tc>
          <w:tcPr>
            <w:tcW w:w="1460" w:type="dxa"/>
            <w:tcBorders>
              <w:top w:val="nil"/>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792,0</w:t>
            </w:r>
          </w:p>
        </w:tc>
      </w:tr>
      <w:tr w:rsidR="00E43DC7" w:rsidRPr="00E43DC7" w:rsidTr="00E43DC7">
        <w:trPr>
          <w:trHeight w:val="984"/>
        </w:trPr>
        <w:tc>
          <w:tcPr>
            <w:tcW w:w="5387" w:type="dxa"/>
            <w:tcBorders>
              <w:top w:val="nil"/>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851" w:type="dxa"/>
            <w:tcBorders>
              <w:top w:val="nil"/>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182</w:t>
            </w:r>
          </w:p>
        </w:tc>
        <w:tc>
          <w:tcPr>
            <w:tcW w:w="2440" w:type="dxa"/>
            <w:tcBorders>
              <w:top w:val="nil"/>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1 08 03010 01 0000 110</w:t>
            </w:r>
          </w:p>
        </w:tc>
        <w:tc>
          <w:tcPr>
            <w:tcW w:w="1460" w:type="dxa"/>
            <w:tcBorders>
              <w:top w:val="nil"/>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180,0</w:t>
            </w:r>
          </w:p>
        </w:tc>
      </w:tr>
      <w:tr w:rsidR="00E43DC7" w:rsidRPr="00E43DC7" w:rsidTr="00E43DC7">
        <w:trPr>
          <w:trHeight w:val="1974"/>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lastRenderedPageBreak/>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(при обращении через многофункциональные центры)</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1 08 07010 01 8000 110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8,1</w:t>
            </w:r>
          </w:p>
        </w:tc>
      </w:tr>
      <w:tr w:rsidR="00E43DC7" w:rsidRPr="00E43DC7" w:rsidTr="00E43DC7">
        <w:trPr>
          <w:trHeight w:val="1363"/>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24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Денежные взыскания (штрафы) за нарушение законодательства о налогах и сборах, предусмотренные статьями 116, 118, статьей 119.1, пунктами 1 и 2 статьи 120, статьями 125, 126, 128, 129, 129.1, 132, 133, 134, 135, 135.1 Налогового кодекса Российской Федерации</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1 16 03010 01 0000 140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0,1</w:t>
            </w:r>
          </w:p>
        </w:tc>
      </w:tr>
      <w:tr w:rsidR="00E43DC7" w:rsidRPr="00E43DC7" w:rsidTr="00E43DC7">
        <w:trPr>
          <w:trHeight w:val="570"/>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0" w:line="240" w:lineRule="auto"/>
              <w:jc w:val="both"/>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Финансовое управление администрации Княгининского района</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22 440,3</w:t>
            </w:r>
          </w:p>
        </w:tc>
      </w:tr>
      <w:tr w:rsidR="00E43DC7" w:rsidRPr="00E43DC7" w:rsidTr="00E43DC7">
        <w:trPr>
          <w:trHeight w:val="645"/>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24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Дотации бюджетам муниципальных районов на выравнивание бюджетной обеспеченности</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2 02 15001 05 0220 151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16 520,4</w:t>
            </w:r>
          </w:p>
        </w:tc>
      </w:tr>
      <w:tr w:rsidR="00E43DC7" w:rsidRPr="00E43DC7" w:rsidTr="00E43DC7">
        <w:trPr>
          <w:trHeight w:val="375"/>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24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Прочие субсидии бюджетам муниципальных районов</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2 02 29999 05 0220 151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2 318,9</w:t>
            </w:r>
          </w:p>
        </w:tc>
      </w:tr>
      <w:tr w:rsidR="00E43DC7" w:rsidRPr="00E43DC7" w:rsidTr="00E43DC7">
        <w:trPr>
          <w:trHeight w:val="945"/>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24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2 02 35118 05 0110 151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76,3</w:t>
            </w:r>
          </w:p>
        </w:tc>
      </w:tr>
      <w:tr w:rsidR="00E43DC7" w:rsidRPr="00E43DC7" w:rsidTr="00E43DC7">
        <w:trPr>
          <w:trHeight w:val="975"/>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24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Субвенции бюджетам муниципальных районов на выполнение передаваемых полномочий субъектов Российской Федерации</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2 02 30024 05 0220 151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2 095,8</w:t>
            </w:r>
          </w:p>
        </w:tc>
      </w:tr>
      <w:tr w:rsidR="00E43DC7" w:rsidRPr="00E43DC7" w:rsidTr="00E43DC7">
        <w:trPr>
          <w:trHeight w:val="1245"/>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24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2 02 45160 05 0220 151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75,0</w:t>
            </w:r>
          </w:p>
        </w:tc>
      </w:tr>
      <w:tr w:rsidR="00E43DC7" w:rsidRPr="00E43DC7" w:rsidTr="006839B2">
        <w:trPr>
          <w:trHeight w:val="1136"/>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24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2 02 40014 05 0000 151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1 353,9</w:t>
            </w:r>
          </w:p>
        </w:tc>
      </w:tr>
      <w:tr w:rsidR="00E43DC7" w:rsidRPr="00E43DC7" w:rsidTr="00E43DC7">
        <w:trPr>
          <w:trHeight w:val="1230"/>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24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2 18 60010 05 0220 151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335,1</w:t>
            </w:r>
          </w:p>
        </w:tc>
      </w:tr>
      <w:tr w:rsidR="00E43DC7" w:rsidRPr="00E43DC7" w:rsidTr="006839B2">
        <w:trPr>
          <w:trHeight w:val="836"/>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24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2 19 60010 05 0000 151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-335,1</w:t>
            </w:r>
          </w:p>
        </w:tc>
      </w:tr>
      <w:tr w:rsidR="00E43DC7" w:rsidRPr="00E43DC7" w:rsidTr="00E43DC7">
        <w:trPr>
          <w:trHeight w:val="570"/>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0" w:line="240" w:lineRule="auto"/>
              <w:jc w:val="both"/>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Управление образования администрации Княгининского района Нижегородской области</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074</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22 778,6</w:t>
            </w:r>
          </w:p>
        </w:tc>
      </w:tr>
      <w:tr w:rsidR="00E43DC7" w:rsidRPr="00E43DC7" w:rsidTr="006839B2">
        <w:trPr>
          <w:trHeight w:val="556"/>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Субвенции бюджетам муниципальных районов на выполнение передаваемых полномочий субъектов Российской Федерации</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074</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2 02 30024 05 0220 151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22 553,6</w:t>
            </w:r>
          </w:p>
        </w:tc>
      </w:tr>
      <w:tr w:rsidR="00E43DC7" w:rsidRPr="00E43DC7" w:rsidTr="006839B2">
        <w:trPr>
          <w:trHeight w:val="1265"/>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24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lastRenderedPageBreak/>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общеобразовательные  программы дошкольного образования</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074</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2 02 30029 05 0220 151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393,0</w:t>
            </w:r>
          </w:p>
        </w:tc>
      </w:tr>
      <w:tr w:rsidR="00E43DC7" w:rsidRPr="00E43DC7" w:rsidTr="00E43DC7">
        <w:trPr>
          <w:trHeight w:val="1155"/>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24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074</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2 19 60010 05 0000 151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-168,0</w:t>
            </w:r>
          </w:p>
        </w:tc>
      </w:tr>
      <w:tr w:rsidR="00E43DC7" w:rsidRPr="00E43DC7" w:rsidTr="00E43DC7">
        <w:trPr>
          <w:trHeight w:val="570"/>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0" w:line="240" w:lineRule="auto"/>
              <w:jc w:val="both"/>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 xml:space="preserve">Управление сельского хозяйства и природопользования  Княгининского района </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082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b/>
                <w:bCs/>
                <w:color w:val="FF0000"/>
                <w:lang w:eastAsia="ru-RU"/>
              </w:rPr>
            </w:pPr>
            <w:r w:rsidRPr="00E43DC7">
              <w:rPr>
                <w:rFonts w:ascii="Times New Roman" w:eastAsia="Times New Roman" w:hAnsi="Times New Roman" w:cs="Times New Roman"/>
                <w:b/>
                <w:bCs/>
                <w:color w:val="FF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10 576,4</w:t>
            </w:r>
          </w:p>
        </w:tc>
      </w:tr>
      <w:tr w:rsidR="00E43DC7" w:rsidRPr="00E43DC7" w:rsidTr="00E43DC7">
        <w:trPr>
          <w:trHeight w:val="990"/>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Субвенции бюджетам муниципальных районов на выполнение передаваемых полномочий субъектов Российской Федерации</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082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2 02 30024 05 0220 151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994,7</w:t>
            </w:r>
          </w:p>
        </w:tc>
      </w:tr>
      <w:tr w:rsidR="00E43DC7" w:rsidRPr="00E43DC7" w:rsidTr="00E43DC7">
        <w:trPr>
          <w:trHeight w:val="1245"/>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24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Субвенции бюджетам муниципальных районов на оказание несвязанной поддержки сельскохозяйственным товаропроизводителям в области растениеводства</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082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2 02 35541 05 0110 151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4 803,7</w:t>
            </w:r>
          </w:p>
        </w:tc>
      </w:tr>
      <w:tr w:rsidR="00E43DC7" w:rsidRPr="00E43DC7" w:rsidTr="00E43DC7">
        <w:trPr>
          <w:trHeight w:val="1260"/>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24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Субвенции бюджетам муниципальных районов на оказание несвязанной поддержки сельскохозяйственным товаропроизводителям в области растениеводства</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082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2 02 35541 05 0220 151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4 156,8</w:t>
            </w:r>
          </w:p>
        </w:tc>
      </w:tr>
      <w:tr w:rsidR="00E43DC7" w:rsidRPr="00E43DC7" w:rsidTr="00E43DC7">
        <w:trPr>
          <w:trHeight w:val="600"/>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Субвенции бюджетам муниципальных районов на  повышение продуктивности в молочном скотоводстве</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082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2 02 35542 05 0220 151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621,2</w:t>
            </w:r>
          </w:p>
        </w:tc>
      </w:tr>
      <w:tr w:rsidR="00E43DC7" w:rsidRPr="00E43DC7" w:rsidTr="00E43DC7">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0" w:line="240" w:lineRule="auto"/>
              <w:jc w:val="both"/>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 xml:space="preserve">Администрация Княгининского района </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684,5</w:t>
            </w:r>
          </w:p>
        </w:tc>
      </w:tr>
      <w:tr w:rsidR="00E43DC7" w:rsidRPr="00E43DC7" w:rsidTr="006839B2">
        <w:trPr>
          <w:trHeight w:val="1287"/>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24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1 11 05013 10 0000 120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202,4</w:t>
            </w:r>
          </w:p>
        </w:tc>
      </w:tr>
      <w:tr w:rsidR="00E43DC7" w:rsidRPr="00E43DC7" w:rsidTr="006839B2">
        <w:trPr>
          <w:trHeight w:val="1258"/>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24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1 11 05013 13 0000 120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4,3</w:t>
            </w:r>
          </w:p>
        </w:tc>
      </w:tr>
      <w:tr w:rsidR="00E43DC7" w:rsidRPr="00E43DC7" w:rsidTr="00E43DC7">
        <w:trPr>
          <w:trHeight w:val="1530"/>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24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1 11 05035 05 0000 120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118,3</w:t>
            </w:r>
          </w:p>
        </w:tc>
      </w:tr>
      <w:tr w:rsidR="00E43DC7" w:rsidRPr="00E43DC7" w:rsidTr="00E43DC7">
        <w:trPr>
          <w:trHeight w:val="600"/>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24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Прочие доходы от компенсации затрат бюджетов муниципальных районов</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1 13 02995 05 0000 130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15,4</w:t>
            </w:r>
          </w:p>
        </w:tc>
      </w:tr>
      <w:tr w:rsidR="00E43DC7" w:rsidRPr="00E43DC7" w:rsidTr="006839B2">
        <w:trPr>
          <w:trHeight w:val="884"/>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lastRenderedPageBreak/>
              <w:t>Доходы от продажи земельных участков, государственная собственность на которые не разграничена и которые расположены в границах сельских  поселений</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1 14 06013 10 0000 430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18,0</w:t>
            </w:r>
          </w:p>
        </w:tc>
      </w:tr>
      <w:tr w:rsidR="00E43DC7" w:rsidRPr="00E43DC7" w:rsidTr="006839B2">
        <w:trPr>
          <w:trHeight w:val="713"/>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1 14 06013 13 0000 430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1,1</w:t>
            </w:r>
          </w:p>
        </w:tc>
      </w:tr>
      <w:tr w:rsidR="00E43DC7" w:rsidRPr="00E43DC7" w:rsidTr="006839B2">
        <w:trPr>
          <w:trHeight w:val="671"/>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24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1 16 90050 05 0000 140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5,0</w:t>
            </w:r>
          </w:p>
        </w:tc>
      </w:tr>
      <w:tr w:rsidR="00E43DC7" w:rsidRPr="00E43DC7" w:rsidTr="00E43DC7">
        <w:trPr>
          <w:trHeight w:val="493"/>
        </w:trPr>
        <w:tc>
          <w:tcPr>
            <w:tcW w:w="538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24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096</w:t>
            </w:r>
          </w:p>
        </w:tc>
        <w:tc>
          <w:tcPr>
            <w:tcW w:w="244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2 19 60010 05 0000 151</w:t>
            </w:r>
          </w:p>
        </w:tc>
        <w:tc>
          <w:tcPr>
            <w:tcW w:w="14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-2,5</w:t>
            </w:r>
          </w:p>
        </w:tc>
      </w:tr>
      <w:tr w:rsidR="00E43DC7" w:rsidRPr="00E43DC7" w:rsidTr="006839B2">
        <w:trPr>
          <w:trHeight w:val="282"/>
        </w:trPr>
        <w:tc>
          <w:tcPr>
            <w:tcW w:w="5387" w:type="dxa"/>
            <w:vMerge/>
            <w:tcBorders>
              <w:top w:val="single" w:sz="4" w:space="0" w:color="auto"/>
              <w:left w:val="single" w:sz="4" w:space="0" w:color="auto"/>
              <w:bottom w:val="single" w:sz="4" w:space="0" w:color="auto"/>
              <w:right w:val="single" w:sz="4" w:space="0" w:color="auto"/>
            </w:tcBorders>
            <w:vAlign w:val="center"/>
            <w:hideMark/>
          </w:tcPr>
          <w:p w:rsidR="00E43DC7" w:rsidRPr="00E43DC7" w:rsidRDefault="00E43DC7" w:rsidP="006839B2">
            <w:pPr>
              <w:spacing w:after="0" w:line="240" w:lineRule="auto"/>
              <w:jc w:val="both"/>
              <w:rPr>
                <w:rFonts w:ascii="Times New Roman" w:eastAsia="Times New Roman" w:hAnsi="Times New Roman" w:cs="Times New Roman"/>
                <w:color w:val="000000"/>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43DC7" w:rsidRPr="00E43DC7" w:rsidRDefault="00E43DC7" w:rsidP="00E43DC7">
            <w:pPr>
              <w:spacing w:after="0" w:line="240" w:lineRule="auto"/>
              <w:rPr>
                <w:rFonts w:ascii="Times New Roman" w:eastAsia="Times New Roman" w:hAnsi="Times New Roman" w:cs="Times New Roman"/>
                <w:color w:val="000000"/>
                <w:lang w:eastAsia="ru-RU"/>
              </w:rPr>
            </w:pPr>
          </w:p>
        </w:tc>
        <w:tc>
          <w:tcPr>
            <w:tcW w:w="2440" w:type="dxa"/>
            <w:vMerge/>
            <w:tcBorders>
              <w:top w:val="single" w:sz="4" w:space="0" w:color="auto"/>
              <w:left w:val="single" w:sz="4" w:space="0" w:color="auto"/>
              <w:bottom w:val="single" w:sz="4" w:space="0" w:color="auto"/>
              <w:right w:val="single" w:sz="4" w:space="0" w:color="auto"/>
            </w:tcBorders>
            <w:vAlign w:val="center"/>
            <w:hideMark/>
          </w:tcPr>
          <w:p w:rsidR="00E43DC7" w:rsidRPr="00E43DC7" w:rsidRDefault="00E43DC7" w:rsidP="00E43DC7">
            <w:pPr>
              <w:spacing w:after="0" w:line="240" w:lineRule="auto"/>
              <w:rPr>
                <w:rFonts w:ascii="Times New Roman" w:eastAsia="Times New Roman" w:hAnsi="Times New Roman" w:cs="Times New Roman"/>
                <w:color w:val="000000"/>
                <w:lang w:eastAsia="ru-RU"/>
              </w:rPr>
            </w:pPr>
          </w:p>
        </w:tc>
        <w:tc>
          <w:tcPr>
            <w:tcW w:w="1460" w:type="dxa"/>
            <w:vMerge/>
            <w:tcBorders>
              <w:top w:val="single" w:sz="4" w:space="0" w:color="auto"/>
              <w:left w:val="single" w:sz="4" w:space="0" w:color="auto"/>
              <w:bottom w:val="single" w:sz="4" w:space="0" w:color="auto"/>
              <w:right w:val="single" w:sz="4" w:space="0" w:color="auto"/>
            </w:tcBorders>
            <w:vAlign w:val="center"/>
            <w:hideMark/>
          </w:tcPr>
          <w:p w:rsidR="00E43DC7" w:rsidRPr="00E43DC7" w:rsidRDefault="00E43DC7" w:rsidP="00E43DC7">
            <w:pPr>
              <w:spacing w:after="0" w:line="240" w:lineRule="auto"/>
              <w:rPr>
                <w:rFonts w:ascii="Times New Roman" w:eastAsia="Times New Roman" w:hAnsi="Times New Roman" w:cs="Times New Roman"/>
                <w:color w:val="000000"/>
                <w:lang w:eastAsia="ru-RU"/>
              </w:rPr>
            </w:pPr>
          </w:p>
        </w:tc>
      </w:tr>
      <w:tr w:rsidR="00E43DC7" w:rsidRPr="00E43DC7" w:rsidTr="00E43DC7">
        <w:trPr>
          <w:trHeight w:val="495"/>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24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Прочие субсидии бюджетам муниципальных районов</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2 02 29999 05 0220 151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222,8</w:t>
            </w:r>
          </w:p>
        </w:tc>
      </w:tr>
      <w:tr w:rsidR="00E43DC7" w:rsidRPr="00E43DC7" w:rsidTr="006839B2">
        <w:trPr>
          <w:trHeight w:val="427"/>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24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Субвенции бюджетам муниципальных районов на выполнение передаваемых полномочий субъектов Российской Федерации</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2 02 30024 05 0220 151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99,7</w:t>
            </w:r>
          </w:p>
        </w:tc>
      </w:tr>
      <w:tr w:rsidR="00E43DC7" w:rsidRPr="00E43DC7" w:rsidTr="00E43DC7">
        <w:trPr>
          <w:trHeight w:val="690"/>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0" w:line="240" w:lineRule="auto"/>
              <w:jc w:val="both"/>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Администрация города Княгинино Княгининского района Нижегородского района</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119</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284,0</w:t>
            </w:r>
          </w:p>
        </w:tc>
      </w:tr>
      <w:tr w:rsidR="00E43DC7" w:rsidRPr="00E43DC7" w:rsidTr="00E43DC7">
        <w:trPr>
          <w:trHeight w:val="1485"/>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24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119</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1 11 05013 13 0000 120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232,3</w:t>
            </w:r>
          </w:p>
        </w:tc>
      </w:tr>
      <w:tr w:rsidR="00E43DC7" w:rsidRPr="00E43DC7" w:rsidTr="00E43DC7">
        <w:trPr>
          <w:trHeight w:val="1185"/>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119</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1 14 06013 13 0000 430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51,7</w:t>
            </w:r>
          </w:p>
        </w:tc>
      </w:tr>
      <w:tr w:rsidR="00E43DC7" w:rsidRPr="00E43DC7" w:rsidTr="00E43DC7">
        <w:trPr>
          <w:trHeight w:val="885"/>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0" w:line="240" w:lineRule="auto"/>
              <w:jc w:val="both"/>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Министерство инвестиций, земельных и имущественных отношений Нижегородской области</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143</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13,7</w:t>
            </w:r>
          </w:p>
        </w:tc>
      </w:tr>
      <w:tr w:rsidR="00E43DC7" w:rsidRPr="00E43DC7" w:rsidTr="00E43DC7">
        <w:trPr>
          <w:trHeight w:val="1407"/>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143</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1 11 05013 13 0000 120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13,7</w:t>
            </w:r>
          </w:p>
        </w:tc>
      </w:tr>
      <w:tr w:rsidR="00E43DC7" w:rsidRPr="00E43DC7" w:rsidTr="00E43DC7">
        <w:trPr>
          <w:trHeight w:val="690"/>
        </w:trPr>
        <w:tc>
          <w:tcPr>
            <w:tcW w:w="5387" w:type="dxa"/>
            <w:tcBorders>
              <w:top w:val="single" w:sz="4" w:space="0" w:color="auto"/>
              <w:left w:val="single" w:sz="4" w:space="0" w:color="auto"/>
              <w:bottom w:val="single" w:sz="4" w:space="0" w:color="auto"/>
              <w:right w:val="nil"/>
            </w:tcBorders>
            <w:shd w:val="clear" w:color="auto" w:fill="auto"/>
            <w:hideMark/>
          </w:tcPr>
          <w:p w:rsidR="00E43DC7" w:rsidRPr="00E43DC7" w:rsidRDefault="00E43DC7" w:rsidP="006839B2">
            <w:pPr>
              <w:spacing w:after="0" w:line="240" w:lineRule="auto"/>
              <w:jc w:val="both"/>
              <w:rPr>
                <w:rFonts w:ascii="Times New Roman" w:eastAsia="Times New Roman" w:hAnsi="Times New Roman" w:cs="Times New Roman"/>
                <w:b/>
                <w:bCs/>
                <w:color w:val="000000"/>
                <w:sz w:val="24"/>
                <w:szCs w:val="24"/>
                <w:lang w:eastAsia="ru-RU"/>
              </w:rPr>
            </w:pPr>
            <w:r w:rsidRPr="00E43DC7">
              <w:rPr>
                <w:rFonts w:ascii="Times New Roman" w:eastAsia="Times New Roman" w:hAnsi="Times New Roman" w:cs="Times New Roman"/>
                <w:b/>
                <w:bCs/>
                <w:color w:val="000000"/>
                <w:sz w:val="24"/>
                <w:szCs w:val="24"/>
                <w:lang w:eastAsia="ru-RU"/>
              </w:rPr>
              <w:t>Федеральная служба государственной статистики</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157</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20,0</w:t>
            </w:r>
          </w:p>
        </w:tc>
      </w:tr>
      <w:tr w:rsidR="00E43DC7" w:rsidRPr="00E43DC7" w:rsidTr="00E43DC7">
        <w:trPr>
          <w:trHeight w:val="960"/>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24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157</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1 16 90050 05 0000 140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20,0</w:t>
            </w:r>
          </w:p>
        </w:tc>
      </w:tr>
      <w:tr w:rsidR="00E43DC7" w:rsidRPr="00E43DC7" w:rsidTr="00E43DC7">
        <w:trPr>
          <w:trHeight w:val="855"/>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0" w:line="240" w:lineRule="auto"/>
              <w:jc w:val="both"/>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lastRenderedPageBreak/>
              <w:t>Государственная инспекция по надзору за техническим состоянием самоходных машин и других видов техники Нижегородской области</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178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9,5</w:t>
            </w:r>
          </w:p>
        </w:tc>
      </w:tr>
      <w:tr w:rsidR="00E43DC7" w:rsidRPr="00E43DC7" w:rsidTr="00E43DC7">
        <w:trPr>
          <w:trHeight w:val="885"/>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24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178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1 16 90050 05 0000 140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9,5</w:t>
            </w:r>
          </w:p>
        </w:tc>
      </w:tr>
      <w:tr w:rsidR="00E43DC7" w:rsidRPr="00E43DC7" w:rsidTr="00E43DC7">
        <w:trPr>
          <w:trHeight w:val="570"/>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0" w:line="240" w:lineRule="auto"/>
              <w:jc w:val="both"/>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 xml:space="preserve">Главное управление МВД России по Нижегородской области  </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188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252,1</w:t>
            </w:r>
          </w:p>
        </w:tc>
      </w:tr>
      <w:tr w:rsidR="00E43DC7" w:rsidRPr="00E43DC7" w:rsidTr="00E43DC7">
        <w:trPr>
          <w:trHeight w:val="3206"/>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(при обращении через многофункциональные центры)</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188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1 08 06000 01 8003 110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21,5</w:t>
            </w:r>
          </w:p>
        </w:tc>
      </w:tr>
      <w:tr w:rsidR="00E43DC7" w:rsidRPr="00E43DC7" w:rsidTr="00E43DC7">
        <w:trPr>
          <w:trHeight w:val="1184"/>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(при обращении через многофункциональные центры)</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188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1 08 07100 01 8034 110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15,7</w:t>
            </w:r>
          </w:p>
        </w:tc>
      </w:tr>
      <w:tr w:rsidR="00E43DC7" w:rsidRPr="00E43DC7" w:rsidTr="00E43DC7">
        <w:trPr>
          <w:trHeight w:val="1545"/>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взамен утраченного или пришедшего в негодность (при обращении через многофункциональные центры)</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188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1 08 07100 01 8035 110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0,8</w:t>
            </w:r>
          </w:p>
        </w:tc>
      </w:tr>
      <w:tr w:rsidR="00E43DC7" w:rsidRPr="00E43DC7" w:rsidTr="00E43DC7">
        <w:trPr>
          <w:trHeight w:val="1832"/>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 (федеральные государственные органы, Банк России, органы управления государственными внебюджетными фондами Российской Федерации)</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188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1 16 43000 01 6000 140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20,4</w:t>
            </w:r>
          </w:p>
        </w:tc>
      </w:tr>
      <w:tr w:rsidR="00E43DC7" w:rsidRPr="00E43DC7" w:rsidTr="00E43DC7">
        <w:trPr>
          <w:trHeight w:val="585"/>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Прочие денежные взыскания (штрафы) за правонарушения в области дорожного движения</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188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1 16 30030 01 0000 140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17,5</w:t>
            </w:r>
          </w:p>
        </w:tc>
      </w:tr>
      <w:tr w:rsidR="00E43DC7" w:rsidRPr="00E43DC7" w:rsidTr="006839B2">
        <w:trPr>
          <w:trHeight w:val="698"/>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24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188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1 16 90050 05 0000 140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176,2</w:t>
            </w:r>
          </w:p>
        </w:tc>
      </w:tr>
      <w:tr w:rsidR="00E43DC7" w:rsidRPr="00E43DC7" w:rsidTr="00E43DC7">
        <w:trPr>
          <w:trHeight w:val="855"/>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0" w:line="240" w:lineRule="auto"/>
              <w:jc w:val="both"/>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Управление Федеральной службы государственной регистрации, кадастра и картографии по Нижегородской области</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321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244,6</w:t>
            </w:r>
          </w:p>
        </w:tc>
      </w:tr>
      <w:tr w:rsidR="00E43DC7" w:rsidRPr="00E43DC7" w:rsidTr="00E43DC7">
        <w:trPr>
          <w:trHeight w:val="950"/>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Государственная пошлина за государственную регистрацию прав, ограничений (обременений) прав на недвижимое имущество и сделок с ним (при обращении через многофункциональные центры)</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321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1 08 07020 01 8000 110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124,6</w:t>
            </w:r>
          </w:p>
        </w:tc>
      </w:tr>
      <w:tr w:rsidR="00E43DC7" w:rsidRPr="00E43DC7" w:rsidTr="00E43DC7">
        <w:trPr>
          <w:trHeight w:val="660"/>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lastRenderedPageBreak/>
              <w:t>Денежные взыскания (штрафы) за нарушение земельного законодательства</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321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1 16 25060 01 0000 140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120,0</w:t>
            </w:r>
          </w:p>
        </w:tc>
      </w:tr>
      <w:tr w:rsidR="00E43DC7" w:rsidRPr="00E43DC7" w:rsidTr="00E43DC7">
        <w:trPr>
          <w:trHeight w:val="570"/>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0" w:line="240" w:lineRule="auto"/>
              <w:jc w:val="both"/>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 xml:space="preserve">Департамент Росприроднадзора по Приволжскому федеральному округу </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048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264,0</w:t>
            </w:r>
          </w:p>
        </w:tc>
      </w:tr>
      <w:tr w:rsidR="00E43DC7" w:rsidRPr="00E43DC7" w:rsidTr="00E43DC7">
        <w:trPr>
          <w:trHeight w:val="645"/>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 xml:space="preserve">Плата за выбросы загрязняющих веществ в атмосферный воздух стационарными объектами </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048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1 12 01010 01 0000 120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25,5</w:t>
            </w:r>
          </w:p>
        </w:tc>
      </w:tr>
      <w:tr w:rsidR="00E43DC7" w:rsidRPr="00E43DC7" w:rsidTr="00E43DC7">
        <w:trPr>
          <w:trHeight w:val="570"/>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Плата за сбросы загрязняющих веществ в водные объекты</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048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1 12 01030 01 0000 120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137,9</w:t>
            </w:r>
          </w:p>
        </w:tc>
      </w:tr>
      <w:tr w:rsidR="00E43DC7" w:rsidRPr="00E43DC7" w:rsidTr="00E43DC7">
        <w:trPr>
          <w:trHeight w:val="600"/>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Плата за размещение отходов производства и потребления</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048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1 12 01040 01 0000 120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100,6</w:t>
            </w:r>
          </w:p>
        </w:tc>
      </w:tr>
      <w:tr w:rsidR="00E43DC7" w:rsidRPr="00E43DC7" w:rsidTr="00E43DC7">
        <w:trPr>
          <w:trHeight w:val="450"/>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0" w:line="240" w:lineRule="auto"/>
              <w:jc w:val="both"/>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Генеральная прокуратура Российской Федерации</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415</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15,0</w:t>
            </w:r>
          </w:p>
        </w:tc>
      </w:tr>
      <w:tr w:rsidR="00E43DC7" w:rsidRPr="00E43DC7" w:rsidTr="00E43DC7">
        <w:trPr>
          <w:trHeight w:val="900"/>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24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415</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1 16 90050 05 0000 140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15,0</w:t>
            </w:r>
          </w:p>
        </w:tc>
      </w:tr>
      <w:tr w:rsidR="00E43DC7" w:rsidRPr="00E43DC7" w:rsidTr="00E43DC7">
        <w:trPr>
          <w:trHeight w:val="570"/>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0" w:line="240" w:lineRule="auto"/>
              <w:jc w:val="both"/>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Комитет  государственного ветеринарного надзора Нижегородской области</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881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0,3</w:t>
            </w:r>
          </w:p>
        </w:tc>
      </w:tr>
      <w:tr w:rsidR="00E43DC7" w:rsidRPr="00E43DC7" w:rsidTr="00E43DC7">
        <w:trPr>
          <w:trHeight w:val="930"/>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240" w:line="240" w:lineRule="auto"/>
              <w:jc w:val="both"/>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881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1 16 90050 05 0000 140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0,3</w:t>
            </w:r>
          </w:p>
        </w:tc>
      </w:tr>
      <w:tr w:rsidR="00E43DC7" w:rsidRPr="00E43DC7" w:rsidTr="00E43DC7">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auto"/>
            <w:hideMark/>
          </w:tcPr>
          <w:p w:rsidR="00E43DC7" w:rsidRPr="00E43DC7" w:rsidRDefault="00E43DC7" w:rsidP="006839B2">
            <w:pPr>
              <w:spacing w:after="0" w:line="240" w:lineRule="auto"/>
              <w:jc w:val="both"/>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 xml:space="preserve">              ИТОГО ДОХОДОВ</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 </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color w:val="000000"/>
                <w:lang w:eastAsia="ru-RU"/>
              </w:rPr>
            </w:pPr>
            <w:r w:rsidRPr="00E43DC7">
              <w:rPr>
                <w:rFonts w:ascii="Times New Roman" w:eastAsia="Times New Roman" w:hAnsi="Times New Roman" w:cs="Times New Roman"/>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E43DC7" w:rsidRPr="00E43DC7" w:rsidRDefault="00E43DC7" w:rsidP="00E43DC7">
            <w:pPr>
              <w:spacing w:after="0" w:line="240" w:lineRule="auto"/>
              <w:jc w:val="center"/>
              <w:rPr>
                <w:rFonts w:ascii="Times New Roman" w:eastAsia="Times New Roman" w:hAnsi="Times New Roman" w:cs="Times New Roman"/>
                <w:b/>
                <w:bCs/>
                <w:color w:val="000000"/>
                <w:lang w:eastAsia="ru-RU"/>
              </w:rPr>
            </w:pPr>
            <w:r w:rsidRPr="00E43DC7">
              <w:rPr>
                <w:rFonts w:ascii="Times New Roman" w:eastAsia="Times New Roman" w:hAnsi="Times New Roman" w:cs="Times New Roman"/>
                <w:b/>
                <w:bCs/>
                <w:color w:val="000000"/>
                <w:lang w:eastAsia="ru-RU"/>
              </w:rPr>
              <w:t>81 134,6</w:t>
            </w:r>
          </w:p>
        </w:tc>
      </w:tr>
    </w:tbl>
    <w:p w:rsidR="00493C13" w:rsidRDefault="00493C13"/>
    <w:sectPr w:rsidR="00493C13" w:rsidSect="006839B2">
      <w:headerReference w:type="default" r:id="rId6"/>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0B36" w:rsidRDefault="00240B36" w:rsidP="006839B2">
      <w:pPr>
        <w:spacing w:after="0" w:line="240" w:lineRule="auto"/>
      </w:pPr>
      <w:r>
        <w:separator/>
      </w:r>
    </w:p>
  </w:endnote>
  <w:endnote w:type="continuationSeparator" w:id="0">
    <w:p w:rsidR="00240B36" w:rsidRDefault="00240B36" w:rsidP="006839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0B36" w:rsidRDefault="00240B36" w:rsidP="006839B2">
      <w:pPr>
        <w:spacing w:after="0" w:line="240" w:lineRule="auto"/>
      </w:pPr>
      <w:r>
        <w:separator/>
      </w:r>
    </w:p>
  </w:footnote>
  <w:footnote w:type="continuationSeparator" w:id="0">
    <w:p w:rsidR="00240B36" w:rsidRDefault="00240B36" w:rsidP="006839B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53818"/>
      <w:docPartObj>
        <w:docPartGallery w:val="Page Numbers (Top of Page)"/>
        <w:docPartUnique/>
      </w:docPartObj>
    </w:sdtPr>
    <w:sdtContent>
      <w:p w:rsidR="006839B2" w:rsidRDefault="001F1570">
        <w:pPr>
          <w:pStyle w:val="a3"/>
          <w:jc w:val="center"/>
        </w:pPr>
        <w:fldSimple w:instr=" PAGE   \* MERGEFORMAT ">
          <w:r w:rsidR="00CE0F28">
            <w:rPr>
              <w:noProof/>
            </w:rPr>
            <w:t>6</w:t>
          </w:r>
        </w:fldSimple>
      </w:p>
    </w:sdtContent>
  </w:sdt>
  <w:p w:rsidR="006839B2" w:rsidRDefault="006839B2">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E43DC7"/>
    <w:rsid w:val="00103F4B"/>
    <w:rsid w:val="001F1570"/>
    <w:rsid w:val="00240B36"/>
    <w:rsid w:val="00493C13"/>
    <w:rsid w:val="006839B2"/>
    <w:rsid w:val="007C3AD7"/>
    <w:rsid w:val="008410C5"/>
    <w:rsid w:val="00CE0F28"/>
    <w:rsid w:val="00DA00F0"/>
    <w:rsid w:val="00DD5A37"/>
    <w:rsid w:val="00E43DC7"/>
    <w:rsid w:val="00F227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3C1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839B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839B2"/>
  </w:style>
  <w:style w:type="paragraph" w:styleId="a5">
    <w:name w:val="footer"/>
    <w:basedOn w:val="a"/>
    <w:link w:val="a6"/>
    <w:uiPriority w:val="99"/>
    <w:semiHidden/>
    <w:unhideWhenUsed/>
    <w:rsid w:val="006839B2"/>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6839B2"/>
  </w:style>
</w:styles>
</file>

<file path=word/webSettings.xml><?xml version="1.0" encoding="utf-8"?>
<w:webSettings xmlns:r="http://schemas.openxmlformats.org/officeDocument/2006/relationships" xmlns:w="http://schemas.openxmlformats.org/wordprocessingml/2006/main">
  <w:divs>
    <w:div w:id="291639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6</Pages>
  <Words>1788</Words>
  <Characters>10195</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cp:lastPrinted>2017-04-18T05:45:00Z</cp:lastPrinted>
  <dcterms:created xsi:type="dcterms:W3CDTF">2017-04-11T08:01:00Z</dcterms:created>
  <dcterms:modified xsi:type="dcterms:W3CDTF">2017-04-18T13:58:00Z</dcterms:modified>
</cp:coreProperties>
</file>